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0321" w14:textId="77777777" w:rsidR="004314C0" w:rsidRDefault="004314C0" w:rsidP="004314C0">
      <w:pPr>
        <w:rPr>
          <w:rFonts w:ascii="Arial" w:eastAsia="Aardvark Cafe" w:hAnsi="Arial" w:cs="Arial"/>
          <w:w w:val="139"/>
        </w:rPr>
      </w:pPr>
      <w:bookmarkStart w:id="0" w:name="_GoBack"/>
      <w:bookmarkEnd w:id="0"/>
      <w:r w:rsidRPr="00394F1E">
        <w:rPr>
          <w:rFonts w:ascii="Arial" w:eastAsia="Aardvark Cafe" w:hAnsi="Arial" w:cs="Arial"/>
          <w:w w:val="139"/>
        </w:rPr>
        <w:t>Name</w:t>
      </w:r>
    </w:p>
    <w:p w14:paraId="0C9FB86C" w14:textId="77777777" w:rsidR="004314C0" w:rsidRDefault="004314C0" w:rsidP="004314C0">
      <w:pPr>
        <w:rPr>
          <w:rFonts w:ascii="Arial" w:eastAsia="Aardvark Cafe" w:hAnsi="Arial" w:cs="Arial"/>
          <w:w w:val="139"/>
        </w:rPr>
      </w:pPr>
    </w:p>
    <w:p w14:paraId="6672B9E2" w14:textId="77777777" w:rsidR="004314C0" w:rsidRPr="00394F1E" w:rsidRDefault="004314C0" w:rsidP="004314C0">
      <w:pPr>
        <w:rPr>
          <w:rFonts w:ascii="Arial" w:eastAsia="Aardvark Cafe" w:hAnsi="Arial" w:cs="Arial"/>
          <w:w w:val="139"/>
        </w:rPr>
      </w:pPr>
    </w:p>
    <w:p w14:paraId="5A520B36" w14:textId="77777777" w:rsidR="004314C0" w:rsidRDefault="004314C0" w:rsidP="004314C0">
      <w:pPr>
        <w:rPr>
          <w:rFonts w:ascii="Arial" w:eastAsia="Aardvark Cafe" w:hAnsi="Arial" w:cs="Arial"/>
          <w:w w:val="139"/>
          <w:sz w:val="40"/>
          <w:szCs w:val="40"/>
        </w:rPr>
      </w:pPr>
      <w:r>
        <w:rPr>
          <w:rFonts w:ascii="Arial" w:eastAsia="Aardvark Cafe" w:hAnsi="Arial" w:cs="Arial"/>
          <w:w w:val="139"/>
          <w:sz w:val="40"/>
          <w:szCs w:val="40"/>
        </w:rPr>
        <w:t>The Risks of Poor Nutrition</w:t>
      </w:r>
    </w:p>
    <w:p w14:paraId="1884F6FA" w14:textId="77777777" w:rsidR="004314C0" w:rsidRDefault="004314C0" w:rsidP="004314C0">
      <w:pPr>
        <w:rPr>
          <w:rFonts w:ascii="Arial" w:eastAsia="Aardvark Cafe" w:hAnsi="Arial" w:cs="Arial"/>
          <w:w w:val="139"/>
          <w:sz w:val="40"/>
          <w:szCs w:val="40"/>
        </w:rPr>
      </w:pPr>
    </w:p>
    <w:p w14:paraId="65F4B639" w14:textId="78072EFD" w:rsidR="00AA5D9A" w:rsidRPr="009274A0" w:rsidRDefault="00CB251B" w:rsidP="004314C0">
      <w:pPr>
        <w:rPr>
          <w:rFonts w:ascii="Arial" w:eastAsia="Aardvark Cafe" w:hAnsi="Arial" w:cs="Arial"/>
          <w:i/>
          <w:color w:val="0000FF" w:themeColor="hyperlink"/>
          <w:w w:val="139"/>
          <w:u w:val="single"/>
        </w:rPr>
      </w:pPr>
      <w:r>
        <w:rPr>
          <w:rFonts w:ascii="Arial" w:eastAsia="Aardvark Cafe" w:hAnsi="Arial" w:cs="Arial"/>
          <w:w w:val="139"/>
        </w:rPr>
        <w:t xml:space="preserve">Read the article below from </w:t>
      </w:r>
      <w:r w:rsidRPr="00CB251B">
        <w:rPr>
          <w:rFonts w:ascii="Arial" w:eastAsia="Aardvark Cafe" w:hAnsi="Arial" w:cs="Arial"/>
          <w:w w:val="139"/>
        </w:rPr>
        <w:t>www.cdc.gov</w:t>
      </w:r>
      <w:r>
        <w:rPr>
          <w:rFonts w:ascii="Arial" w:eastAsia="Aardvark Cafe" w:hAnsi="Arial" w:cs="Arial"/>
          <w:w w:val="139"/>
        </w:rPr>
        <w:t xml:space="preserve"> then complete the following.</w:t>
      </w:r>
    </w:p>
    <w:p w14:paraId="7439945B" w14:textId="568CA7EE" w:rsidR="009274A0" w:rsidRPr="009274A0" w:rsidRDefault="009274A0" w:rsidP="004314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5FFD6829" w14:textId="77777777" w:rsidR="009274A0" w:rsidRDefault="009274A0" w:rsidP="004314C0">
      <w:pPr>
        <w:rPr>
          <w:rFonts w:ascii="Arial" w:hAnsi="Arial"/>
          <w:sz w:val="28"/>
          <w:szCs w:val="28"/>
        </w:rPr>
      </w:pPr>
    </w:p>
    <w:p w14:paraId="77FF9786" w14:textId="77777777" w:rsidR="00AA5D9A" w:rsidRDefault="00AA5D9A" w:rsidP="004314C0">
      <w:pPr>
        <w:rPr>
          <w:rFonts w:ascii="Arial" w:hAnsi="Arial"/>
          <w:sz w:val="28"/>
          <w:szCs w:val="28"/>
        </w:rPr>
      </w:pPr>
      <w:r w:rsidRPr="00AA5D9A">
        <w:rPr>
          <w:rFonts w:ascii="Arial" w:hAnsi="Arial"/>
          <w:sz w:val="28"/>
          <w:szCs w:val="28"/>
        </w:rPr>
        <w:t>List the benefits of eating healthy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251B" w14:paraId="1EDBE281" w14:textId="77777777" w:rsidTr="00CB251B">
        <w:tc>
          <w:tcPr>
            <w:tcW w:w="11016" w:type="dxa"/>
          </w:tcPr>
          <w:p w14:paraId="0D62B58F" w14:textId="77777777" w:rsidR="00CB251B" w:rsidRDefault="00CB251B" w:rsidP="004314C0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04B3A54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1109A0DB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396C9A3F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16662E91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691535AF" w14:textId="77777777" w:rsidR="00AA5D9A" w:rsidRDefault="00AA5D9A" w:rsidP="004314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List the consequences of not eating healthy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251B" w14:paraId="78812014" w14:textId="77777777" w:rsidTr="00CB251B">
        <w:tc>
          <w:tcPr>
            <w:tcW w:w="11016" w:type="dxa"/>
          </w:tcPr>
          <w:p w14:paraId="653D3758" w14:textId="77777777" w:rsidR="00CB251B" w:rsidRDefault="00CB251B" w:rsidP="007F34E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B9484E8" w14:textId="77777777" w:rsidR="00AA5D9A" w:rsidRDefault="00AA5D9A" w:rsidP="007F34E5">
      <w:pPr>
        <w:rPr>
          <w:rFonts w:ascii="Arial" w:hAnsi="Arial"/>
          <w:sz w:val="28"/>
          <w:szCs w:val="28"/>
        </w:rPr>
      </w:pPr>
    </w:p>
    <w:p w14:paraId="0BBBB7E3" w14:textId="77777777" w:rsidR="007F34E5" w:rsidRDefault="007F34E5" w:rsidP="007F34E5">
      <w:pPr>
        <w:rPr>
          <w:rFonts w:ascii="Arial" w:hAnsi="Arial"/>
          <w:sz w:val="28"/>
          <w:szCs w:val="28"/>
        </w:rPr>
      </w:pPr>
    </w:p>
    <w:p w14:paraId="46A2976C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41BF82FB" w14:textId="77777777" w:rsidR="007F34E5" w:rsidRDefault="007F34E5" w:rsidP="007F34E5">
      <w:pPr>
        <w:rPr>
          <w:rFonts w:ascii="Arial" w:hAnsi="Arial"/>
          <w:sz w:val="28"/>
          <w:szCs w:val="28"/>
        </w:rPr>
      </w:pPr>
    </w:p>
    <w:p w14:paraId="6B109E4A" w14:textId="77777777" w:rsidR="007F34E5" w:rsidRDefault="007F34E5" w:rsidP="007F3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eating behaviors do you have that you could improve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251B" w14:paraId="5798D531" w14:textId="77777777" w:rsidTr="00CB251B">
        <w:tc>
          <w:tcPr>
            <w:tcW w:w="11016" w:type="dxa"/>
          </w:tcPr>
          <w:p w14:paraId="213DB6C1" w14:textId="77777777" w:rsidR="00CB251B" w:rsidRDefault="00CB251B" w:rsidP="007F34E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F2CD21F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45859DB8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320066FF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547C2598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39BB13B5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58EFD846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0448E740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7BDC325A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49849810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7ECA70E8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375A5EFB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20FA8FD6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476CD79D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359877D4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3539D908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0747D9A8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6A75BC06" w14:textId="77777777" w:rsidR="00CB251B" w:rsidRDefault="00CB251B" w:rsidP="007F34E5">
      <w:pPr>
        <w:rPr>
          <w:rFonts w:ascii="Arial" w:hAnsi="Arial"/>
          <w:sz w:val="28"/>
          <w:szCs w:val="28"/>
        </w:rPr>
      </w:pPr>
    </w:p>
    <w:p w14:paraId="534975E9" w14:textId="77777777" w:rsidR="00CB251B" w:rsidRDefault="00CB251B" w:rsidP="00CB251B">
      <w:pPr>
        <w:pStyle w:val="Heading1"/>
        <w:shd w:val="clear" w:color="auto" w:fill="FFFFFF"/>
        <w:rPr>
          <w:rFonts w:ascii="Times" w:eastAsia="Times New Roman" w:hAnsi="Times"/>
          <w:b w:val="0"/>
          <w:bCs w:val="0"/>
          <w:color w:val="000000"/>
        </w:rPr>
      </w:pPr>
    </w:p>
    <w:p w14:paraId="443D46D5" w14:textId="77777777" w:rsidR="00CB251B" w:rsidRDefault="00CB251B" w:rsidP="00CB251B">
      <w:pPr>
        <w:pStyle w:val="Heading1"/>
        <w:shd w:val="clear" w:color="auto" w:fill="FFFFFF"/>
        <w:rPr>
          <w:rFonts w:ascii="Times" w:eastAsia="Times New Roman" w:hAnsi="Times"/>
          <w:b w:val="0"/>
          <w:bCs w:val="0"/>
          <w:color w:val="000000"/>
        </w:rPr>
      </w:pPr>
    </w:p>
    <w:p w14:paraId="69171791" w14:textId="77777777" w:rsidR="00CB251B" w:rsidRDefault="00CB251B" w:rsidP="00CB251B">
      <w:pPr>
        <w:pStyle w:val="Heading1"/>
        <w:shd w:val="clear" w:color="auto" w:fill="FFFFFF"/>
        <w:rPr>
          <w:rFonts w:ascii="Times" w:eastAsia="Times New Roman" w:hAnsi="Times"/>
          <w:b w:val="0"/>
          <w:bCs w:val="0"/>
          <w:color w:val="000000"/>
        </w:rPr>
      </w:pPr>
      <w:r>
        <w:rPr>
          <w:rFonts w:ascii="Times" w:eastAsia="Times New Roman" w:hAnsi="Times"/>
          <w:b w:val="0"/>
          <w:bCs w:val="0"/>
          <w:color w:val="000000"/>
        </w:rPr>
        <w:lastRenderedPageBreak/>
        <w:t>Childhood Nutrition Facts</w:t>
      </w:r>
    </w:p>
    <w:p w14:paraId="35F01522" w14:textId="3A3551D0" w:rsidR="00CB251B" w:rsidRDefault="00CB251B" w:rsidP="00CB251B">
      <w:pPr>
        <w:shd w:val="clear" w:color="auto" w:fill="FFFFFF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noProof/>
          <w:color w:val="000000"/>
          <w:sz w:val="26"/>
          <w:szCs w:val="26"/>
        </w:rPr>
        <w:drawing>
          <wp:inline distT="0" distB="0" distL="0" distR="0" wp14:anchorId="36C6C61A" wp14:editId="185D6DC9">
            <wp:extent cx="6806650" cy="1003579"/>
            <wp:effectExtent l="0" t="0" r="635" b="12700"/>
            <wp:docPr id="1" name="Picture 1" descr="utrition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rition Facts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625" cy="100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82B5" w14:textId="77777777" w:rsidR="00CB251B" w:rsidRDefault="00CB251B" w:rsidP="00CB251B">
      <w:pPr>
        <w:shd w:val="clear" w:color="auto" w:fill="FFFFFF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Overview</w:t>
      </w:r>
    </w:p>
    <w:p w14:paraId="5C0E2CEC" w14:textId="77777777" w:rsidR="00CB251B" w:rsidRDefault="00CB251B" w:rsidP="00CB251B">
      <w:pPr>
        <w:pStyle w:val="NormalWeb"/>
        <w:shd w:val="clear" w:color="auto" w:fill="FFFFFF"/>
        <w:spacing w:before="0" w:before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Healthy eating in childhood and adolescence is important for proper growth and development and to prevent various health conditions.</w:t>
      </w:r>
      <w:r>
        <w:rPr>
          <w:rFonts w:ascii="Helvetica Neue" w:hAnsi="Helvetica Neue"/>
          <w:color w:val="000000"/>
          <w:sz w:val="26"/>
          <w:szCs w:val="26"/>
          <w:vertAlign w:val="superscript"/>
        </w:rPr>
        <w:t>1</w:t>
      </w:r>
      <w:proofErr w:type="gramStart"/>
      <w:r>
        <w:rPr>
          <w:rFonts w:ascii="Helvetica Neue" w:hAnsi="Helvetica Neue"/>
          <w:color w:val="000000"/>
          <w:sz w:val="26"/>
          <w:szCs w:val="26"/>
          <w:vertAlign w:val="superscript"/>
        </w:rPr>
        <w:t>,2</w:t>
      </w:r>
      <w:proofErr w:type="gramEnd"/>
      <w:r>
        <w:rPr>
          <w:rFonts w:ascii="Helvetica Neue" w:hAnsi="Helvetica Neue"/>
          <w:color w:val="000000"/>
          <w:sz w:val="26"/>
          <w:szCs w:val="26"/>
        </w:rPr>
        <w:t> The </w:t>
      </w:r>
      <w:hyperlink r:id="rId7" w:history="1">
        <w:r>
          <w:rPr>
            <w:rStyle w:val="Emphasis"/>
            <w:rFonts w:ascii="Helvetica Neue" w:hAnsi="Helvetica Neue"/>
            <w:color w:val="075290"/>
            <w:sz w:val="26"/>
            <w:szCs w:val="26"/>
            <w:u w:val="single"/>
          </w:rPr>
          <w:t xml:space="preserve">2015–2020 Dietary Guidelines for </w:t>
        </w:r>
        <w:proofErr w:type="spellStart"/>
        <w:r>
          <w:rPr>
            <w:rStyle w:val="Emphasis"/>
            <w:rFonts w:ascii="Helvetica Neue" w:hAnsi="Helvetica Neue"/>
            <w:color w:val="075290"/>
            <w:sz w:val="26"/>
            <w:szCs w:val="26"/>
            <w:u w:val="single"/>
          </w:rPr>
          <w:t>Americans</w:t>
        </w:r>
        <w:r>
          <w:rPr>
            <w:rStyle w:val="sr-only"/>
            <w:rFonts w:ascii="Helvetica Neue" w:hAnsi="Helvetica Neue"/>
            <w:color w:val="075290"/>
            <w:sz w:val="26"/>
            <w:szCs w:val="26"/>
            <w:u w:val="single"/>
            <w:bdr w:val="none" w:sz="0" w:space="0" w:color="auto" w:frame="1"/>
          </w:rPr>
          <w:t>External</w:t>
        </w:r>
        <w:proofErr w:type="spellEnd"/>
      </w:hyperlink>
      <w:r>
        <w:rPr>
          <w:rFonts w:ascii="Helvetica Neue" w:hAnsi="Helvetica Neue"/>
          <w:color w:val="000000"/>
          <w:sz w:val="26"/>
          <w:szCs w:val="26"/>
        </w:rPr>
        <w:t> recommend that people aged 2 years or older follow a healthy eating pattern that includes the following</w:t>
      </w:r>
      <w:r>
        <w:rPr>
          <w:rFonts w:ascii="Helvetica Neue" w:hAnsi="Helvetica Neue"/>
          <w:color w:val="000000"/>
          <w:sz w:val="26"/>
          <w:szCs w:val="26"/>
          <w:vertAlign w:val="superscript"/>
        </w:rPr>
        <w:t>2</w:t>
      </w:r>
      <w:r>
        <w:rPr>
          <w:rFonts w:ascii="Helvetica Neue" w:hAnsi="Helvetica Neue"/>
          <w:color w:val="000000"/>
          <w:sz w:val="26"/>
          <w:szCs w:val="26"/>
        </w:rPr>
        <w:t>:</w:t>
      </w:r>
    </w:p>
    <w:p w14:paraId="26DE4B67" w14:textId="77777777" w:rsidR="00CB251B" w:rsidRDefault="00CB251B" w:rsidP="00CB2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A variety of fruits and vegetables</w:t>
      </w:r>
    </w:p>
    <w:p w14:paraId="38FF76F3" w14:textId="77777777" w:rsidR="00CB251B" w:rsidRDefault="00CB251B" w:rsidP="00CB2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Whole grains</w:t>
      </w:r>
    </w:p>
    <w:p w14:paraId="3B831B86" w14:textId="77777777" w:rsidR="00CB251B" w:rsidRDefault="00CB251B" w:rsidP="00CB2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Fat-free and low-fat dairy products</w:t>
      </w:r>
    </w:p>
    <w:p w14:paraId="2FC3B5F4" w14:textId="77777777" w:rsidR="00CB251B" w:rsidRDefault="00CB251B" w:rsidP="00CB2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A variety of protein foods</w:t>
      </w:r>
    </w:p>
    <w:p w14:paraId="0228160E" w14:textId="77777777" w:rsidR="00CB251B" w:rsidRDefault="00CB251B" w:rsidP="00CB2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Oils</w:t>
      </w:r>
    </w:p>
    <w:p w14:paraId="56E2C457" w14:textId="77777777" w:rsidR="00CB251B" w:rsidRDefault="00CB251B" w:rsidP="00CB251B">
      <w:pPr>
        <w:pStyle w:val="NormalWeb"/>
        <w:shd w:val="clear" w:color="auto" w:fill="FFFFFF"/>
        <w:spacing w:before="0" w:before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These guidelines also recommend that individuals limit calories from solid fats (major sources of saturated and trans fatty acids) and added sugars, and </w:t>
      </w:r>
      <w:hyperlink r:id="rId8" w:history="1">
        <w:r>
          <w:rPr>
            <w:rStyle w:val="Hyperlink"/>
            <w:rFonts w:ascii="Helvetica Neue" w:hAnsi="Helvetica Neue"/>
            <w:color w:val="075290"/>
            <w:sz w:val="26"/>
            <w:szCs w:val="26"/>
          </w:rPr>
          <w:t>reduce sodium</w:t>
        </w:r>
      </w:hyperlink>
      <w:r>
        <w:rPr>
          <w:rFonts w:ascii="Helvetica Neue" w:hAnsi="Helvetica Neue"/>
          <w:color w:val="000000"/>
          <w:sz w:val="26"/>
          <w:szCs w:val="26"/>
        </w:rPr>
        <w:t>intake.</w:t>
      </w:r>
      <w:r>
        <w:rPr>
          <w:rFonts w:ascii="Helvetica Neue" w:hAnsi="Helvetica Neue"/>
          <w:color w:val="000000"/>
          <w:sz w:val="26"/>
          <w:szCs w:val="26"/>
          <w:vertAlign w:val="superscript"/>
        </w:rPr>
        <w:t>2</w:t>
      </w:r>
      <w:r>
        <w:rPr>
          <w:rFonts w:ascii="Helvetica Neue" w:hAnsi="Helvetica Neue"/>
          <w:color w:val="000000"/>
          <w:sz w:val="26"/>
          <w:szCs w:val="26"/>
        </w:rPr>
        <w:t> Unfortunately, most children and adolescents do not follow the recommendations set forth in the </w:t>
      </w:r>
      <w:r>
        <w:rPr>
          <w:rStyle w:val="Emphasis"/>
          <w:rFonts w:ascii="Helvetica Neue" w:hAnsi="Helvetica Neue"/>
          <w:color w:val="000000"/>
          <w:sz w:val="26"/>
          <w:szCs w:val="26"/>
        </w:rPr>
        <w:t>Dietary Guidelines for Americans</w:t>
      </w:r>
      <w:r>
        <w:rPr>
          <w:rFonts w:ascii="Helvetica Neue" w:hAnsi="Helvetica Neue"/>
          <w:color w:val="000000"/>
          <w:sz w:val="26"/>
          <w:szCs w:val="26"/>
        </w:rPr>
        <w:t>.</w:t>
      </w:r>
      <w:r>
        <w:rPr>
          <w:rFonts w:ascii="Helvetica Neue" w:hAnsi="Helvetica Neue"/>
          <w:color w:val="000000"/>
          <w:sz w:val="26"/>
          <w:szCs w:val="26"/>
          <w:vertAlign w:val="superscript"/>
        </w:rPr>
        <w:t>2–4</w:t>
      </w:r>
    </w:p>
    <w:p w14:paraId="549332B8" w14:textId="77777777" w:rsidR="00CB251B" w:rsidRDefault="00CB251B" w:rsidP="00CB251B">
      <w:pPr>
        <w:shd w:val="clear" w:color="auto" w:fill="FFFFFF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Benefits of Healthy Eating</w:t>
      </w:r>
    </w:p>
    <w:p w14:paraId="2E0DAA04" w14:textId="77777777" w:rsidR="00CB251B" w:rsidRDefault="00CB251B" w:rsidP="00CB251B">
      <w:pPr>
        <w:pStyle w:val="NormalWeb"/>
        <w:shd w:val="clear" w:color="auto" w:fill="FFFFFF"/>
        <w:spacing w:before="0" w:before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Healthy eating can help individuals achieve and maintain a healthy body weight, consume important nutrients, and reduce the risk of developing health conditions such as</w:t>
      </w:r>
      <w:r>
        <w:rPr>
          <w:rFonts w:ascii="Helvetica Neue" w:hAnsi="Helvetica Neue"/>
          <w:color w:val="000000"/>
          <w:sz w:val="26"/>
          <w:szCs w:val="26"/>
          <w:vertAlign w:val="superscript"/>
        </w:rPr>
        <w:t>1</w:t>
      </w:r>
      <w:proofErr w:type="gramStart"/>
      <w:r>
        <w:rPr>
          <w:rFonts w:ascii="Helvetica Neue" w:hAnsi="Helvetica Neue"/>
          <w:color w:val="000000"/>
          <w:sz w:val="26"/>
          <w:szCs w:val="26"/>
          <w:vertAlign w:val="superscript"/>
        </w:rPr>
        <w:t>,2</w:t>
      </w:r>
      <w:proofErr w:type="gramEnd"/>
    </w:p>
    <w:p w14:paraId="5D4027E1" w14:textId="77777777" w:rsidR="00CB251B" w:rsidRDefault="00CB251B" w:rsidP="00CB2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High blood pressure</w:t>
      </w:r>
    </w:p>
    <w:p w14:paraId="0146C712" w14:textId="77777777" w:rsidR="00CB251B" w:rsidRDefault="00CB251B" w:rsidP="00CB2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Heart disease</w:t>
      </w:r>
    </w:p>
    <w:p w14:paraId="134FB956" w14:textId="77777777" w:rsidR="00CB251B" w:rsidRDefault="00CB251B" w:rsidP="00CB2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Diabetes</w:t>
      </w:r>
    </w:p>
    <w:p w14:paraId="7485C9C5" w14:textId="77777777" w:rsidR="00CB251B" w:rsidRDefault="00CB251B" w:rsidP="00CB2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Cancer</w:t>
      </w:r>
    </w:p>
    <w:p w14:paraId="4B9A7261" w14:textId="77777777" w:rsidR="00CB251B" w:rsidRDefault="00CB251B" w:rsidP="00CB2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Osteoporosis</w:t>
      </w:r>
    </w:p>
    <w:p w14:paraId="7F22D35E" w14:textId="77777777" w:rsidR="00CB251B" w:rsidRDefault="00CB251B" w:rsidP="00CB2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Iron deficiency</w:t>
      </w:r>
    </w:p>
    <w:p w14:paraId="7613BF12" w14:textId="77777777" w:rsidR="00CB251B" w:rsidRDefault="00CB251B" w:rsidP="00CB2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Dental caries (cavities)</w:t>
      </w:r>
    </w:p>
    <w:p w14:paraId="6E96148A" w14:textId="77777777" w:rsidR="00CB251B" w:rsidRDefault="00CB251B" w:rsidP="00CB251B">
      <w:pPr>
        <w:shd w:val="clear" w:color="auto" w:fill="FFFFFF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Consequences of a Poor Diet</w:t>
      </w:r>
    </w:p>
    <w:p w14:paraId="0E9EEDD8" w14:textId="77777777" w:rsidR="00CB251B" w:rsidRDefault="00CB251B" w:rsidP="00CB2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A poor diet can lead to energy imbalance (e.g., eating more calories than your body uses) and can increase the risk of becoming overweight or obese.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1</w:t>
      </w:r>
      <w:proofErr w:type="gramStart"/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,5</w:t>
      </w:r>
      <w:proofErr w:type="gramEnd"/>
    </w:p>
    <w:p w14:paraId="021726C1" w14:textId="77777777" w:rsidR="00CB251B" w:rsidRDefault="00CB251B" w:rsidP="00CB2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A poor diet can increase the risk for lung, esophageal, stomach, colorectal, and prostate cancers.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2</w:t>
      </w:r>
      <w:proofErr w:type="gramStart"/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,6</w:t>
      </w:r>
      <w:proofErr w:type="gramEnd"/>
    </w:p>
    <w:p w14:paraId="4D365ED4" w14:textId="77777777" w:rsidR="00CB251B" w:rsidRDefault="00CB251B" w:rsidP="00CB2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 xml:space="preserve">Hunger and food insecurity (i.e., reduced food intake and disrupted eating patterns due to a lack of household income and other resources for food) might increase the risk for lower dietary quality and </w:t>
      </w:r>
      <w:proofErr w:type="spellStart"/>
      <w:r>
        <w:rPr>
          <w:rFonts w:ascii="Helvetica Neue" w:eastAsia="Times New Roman" w:hAnsi="Helvetica Neue"/>
          <w:color w:val="000000"/>
          <w:sz w:val="26"/>
          <w:szCs w:val="26"/>
        </w:rPr>
        <w:t>undernutrition</w:t>
      </w:r>
      <w:proofErr w:type="spellEnd"/>
      <w:r>
        <w:rPr>
          <w:rFonts w:ascii="Helvetica Neue" w:eastAsia="Times New Roman" w:hAnsi="Helvetica Neue"/>
          <w:color w:val="000000"/>
          <w:sz w:val="26"/>
          <w:szCs w:val="26"/>
        </w:rPr>
        <w:t xml:space="preserve">. In turn, </w:t>
      </w:r>
      <w:proofErr w:type="spellStart"/>
      <w:r>
        <w:rPr>
          <w:rFonts w:ascii="Helvetica Neue" w:eastAsia="Times New Roman" w:hAnsi="Helvetica Neue"/>
          <w:color w:val="000000"/>
          <w:sz w:val="26"/>
          <w:szCs w:val="26"/>
        </w:rPr>
        <w:t>undernutrition</w:t>
      </w:r>
      <w:proofErr w:type="spellEnd"/>
      <w:r>
        <w:rPr>
          <w:rFonts w:ascii="Helvetica Neue" w:eastAsia="Times New Roman" w:hAnsi="Helvetica Neue"/>
          <w:color w:val="000000"/>
          <w:sz w:val="26"/>
          <w:szCs w:val="26"/>
        </w:rPr>
        <w:t xml:space="preserve"> can negatively affect overall health, cognitive development, and school performance.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7–9</w:t>
      </w:r>
    </w:p>
    <w:p w14:paraId="39E0C502" w14:textId="77777777" w:rsidR="00CB251B" w:rsidRDefault="00CB251B" w:rsidP="00CB251B">
      <w:pPr>
        <w:shd w:val="clear" w:color="auto" w:fill="FFFFFF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Tips for Healthy Eating</w:t>
      </w:r>
    </w:p>
    <w:p w14:paraId="159EAF8F" w14:textId="77777777" w:rsidR="00CB251B" w:rsidRDefault="00CB251B" w:rsidP="00CB2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The US Department of Agriculture provides</w:t>
      </w:r>
    </w:p>
    <w:p w14:paraId="7EF2ADF9" w14:textId="2EC40C4C" w:rsidR="00CB251B" w:rsidRDefault="00CB251B" w:rsidP="00CB251B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br/>
        <w:t> </w:t>
      </w:r>
      <w:r>
        <w:rPr>
          <w:rFonts w:ascii="Helvetica Neue" w:eastAsia="Times New Roman" w:hAnsi="Helvetica Neue"/>
          <w:noProof/>
          <w:color w:val="075290"/>
          <w:sz w:val="26"/>
          <w:szCs w:val="26"/>
        </w:rPr>
        <w:drawing>
          <wp:inline distT="0" distB="0" distL="0" distR="0" wp14:anchorId="02AAAF63" wp14:editId="2C5D62A9">
            <wp:extent cx="4016925" cy="3686266"/>
            <wp:effectExtent l="0" t="0" r="0" b="0"/>
            <wp:docPr id="2" name="Picture 2" descr="hooseMyPlate.gov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oseMyPlate.gov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25" cy="368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17E7" w14:textId="77777777" w:rsidR="00CB251B" w:rsidRDefault="00CB251B" w:rsidP="00CB251B">
      <w:pPr>
        <w:shd w:val="clear" w:color="auto" w:fill="FFFFFF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Diet and Academic Performance</w:t>
      </w:r>
    </w:p>
    <w:p w14:paraId="5AE6C8DD" w14:textId="77777777" w:rsidR="00CB251B" w:rsidRDefault="00CB251B" w:rsidP="00CB2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Schools are in a unique position to provide students with opportunities to learn about and practice healthy eating behaviors.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15</w:t>
      </w:r>
    </w:p>
    <w:p w14:paraId="62B4BF38" w14:textId="77777777" w:rsidR="00CB251B" w:rsidRDefault="00CB251B" w:rsidP="00CB2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Eating a healthy breakfast is associated with improved cognitive function (especially memory), reduced absenteeism, and improved mood.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16–18</w:t>
      </w:r>
    </w:p>
    <w:p w14:paraId="4B18A7A0" w14:textId="77777777" w:rsidR="00CB251B" w:rsidRDefault="00CB251B" w:rsidP="00CB2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Adequate hydration may also improve cognitive function in children and adolescents, which is important for learning.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19–23</w:t>
      </w:r>
      <w:r>
        <w:rPr>
          <w:rFonts w:ascii="Helvetica Neue" w:eastAsia="Times New Roman" w:hAnsi="Helvetica Neue"/>
          <w:color w:val="000000"/>
          <w:sz w:val="26"/>
          <w:szCs w:val="26"/>
        </w:rPr>
        <w:t> </w:t>
      </w:r>
    </w:p>
    <w:p w14:paraId="0BE38EA1" w14:textId="77777777" w:rsidR="00CB251B" w:rsidRDefault="00CB251B" w:rsidP="00CB251B">
      <w:pPr>
        <w:shd w:val="clear" w:color="auto" w:fill="FFFFFF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Eating Behaviors of Young People</w:t>
      </w:r>
    </w:p>
    <w:p w14:paraId="33E36060" w14:textId="77777777" w:rsidR="00CB251B" w:rsidRDefault="00CB251B" w:rsidP="00CB251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Between 2001 and 2010, consumption of sugar-sweetened beverages among children and adolescents decreased, but still accounts for 10% of total caloric intake.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10</w:t>
      </w:r>
    </w:p>
    <w:p w14:paraId="34F50AF5" w14:textId="77777777" w:rsidR="00CB251B" w:rsidRDefault="00CB251B" w:rsidP="00CB251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>Between 2003 and 2010, total fruit intake and whole fruit intake among children and adolescents increased. However, most youth still do not meet fruit and vegetable recommendations.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11</w:t>
      </w:r>
      <w:proofErr w:type="gramStart"/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,12</w:t>
      </w:r>
      <w:proofErr w:type="gramEnd"/>
    </w:p>
    <w:p w14:paraId="41BB22A6" w14:textId="32716457" w:rsidR="00CB251B" w:rsidRPr="00CB251B" w:rsidRDefault="00CB251B" w:rsidP="007F34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6"/>
          <w:szCs w:val="26"/>
        </w:rPr>
      </w:pPr>
      <w:r>
        <w:rPr>
          <w:rFonts w:ascii="Helvetica Neue" w:eastAsia="Times New Roman" w:hAnsi="Helvetica Neue"/>
          <w:color w:val="000000"/>
          <w:sz w:val="26"/>
          <w:szCs w:val="26"/>
        </w:rPr>
        <w:t xml:space="preserve">Empty calories from added sugars and solid fats contribute to 40% of daily calories for children and adolescents age 2–18 years—affecting the overall quality of their diets. Approximately half of these empty calories come from six sources: soda, fruit drinks, dairy desserts, grain desserts, pizza, and whole </w:t>
      </w:r>
      <w:proofErr w:type="gramStart"/>
      <w:r>
        <w:rPr>
          <w:rFonts w:ascii="Helvetica Neue" w:eastAsia="Times New Roman" w:hAnsi="Helvetica Neue"/>
          <w:color w:val="000000"/>
          <w:sz w:val="26"/>
          <w:szCs w:val="26"/>
        </w:rPr>
        <w:t>milk.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4  </w:t>
      </w:r>
      <w:r>
        <w:rPr>
          <w:rFonts w:ascii="Helvetica Neue" w:eastAsia="Times New Roman" w:hAnsi="Helvetica Neue"/>
          <w:color w:val="000000"/>
          <w:sz w:val="26"/>
          <w:szCs w:val="26"/>
        </w:rPr>
        <w:t>Most</w:t>
      </w:r>
      <w:proofErr w:type="gramEnd"/>
      <w:r>
        <w:rPr>
          <w:rFonts w:ascii="Helvetica Neue" w:eastAsia="Times New Roman" w:hAnsi="Helvetica Neue"/>
          <w:color w:val="000000"/>
          <w:sz w:val="26"/>
          <w:szCs w:val="26"/>
        </w:rPr>
        <w:t xml:space="preserve"> youth do not consume the recommended amount of total water.</w:t>
      </w:r>
      <w:r>
        <w:rPr>
          <w:rFonts w:ascii="Helvetica Neue" w:eastAsia="Times New Roman" w:hAnsi="Helvetica Neue"/>
          <w:color w:val="000000"/>
          <w:sz w:val="26"/>
          <w:szCs w:val="26"/>
          <w:vertAlign w:val="superscript"/>
        </w:rPr>
        <w:t>13</w:t>
      </w:r>
    </w:p>
    <w:sectPr w:rsidR="00CB251B" w:rsidRPr="00CB251B" w:rsidSect="00CB25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ardvark Caf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530"/>
    <w:multiLevelType w:val="multilevel"/>
    <w:tmpl w:val="FCA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A654C"/>
    <w:multiLevelType w:val="multilevel"/>
    <w:tmpl w:val="AA2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31E54"/>
    <w:multiLevelType w:val="multilevel"/>
    <w:tmpl w:val="8B5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92054"/>
    <w:multiLevelType w:val="multilevel"/>
    <w:tmpl w:val="CEA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4636A"/>
    <w:multiLevelType w:val="hybridMultilevel"/>
    <w:tmpl w:val="D310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12BAB"/>
    <w:multiLevelType w:val="multilevel"/>
    <w:tmpl w:val="027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47781A"/>
    <w:multiLevelType w:val="multilevel"/>
    <w:tmpl w:val="9B6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0"/>
    <w:rsid w:val="000279F9"/>
    <w:rsid w:val="00161AD5"/>
    <w:rsid w:val="002E0A71"/>
    <w:rsid w:val="004314C0"/>
    <w:rsid w:val="00682D17"/>
    <w:rsid w:val="007C2418"/>
    <w:rsid w:val="007F34E5"/>
    <w:rsid w:val="009274A0"/>
    <w:rsid w:val="00AA5D9A"/>
    <w:rsid w:val="00CB251B"/>
    <w:rsid w:val="00D45585"/>
    <w:rsid w:val="00E44F10"/>
    <w:rsid w:val="00E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390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0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B25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D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4A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51B"/>
    <w:rPr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251B"/>
    <w:pPr>
      <w:spacing w:before="100" w:beforeAutospacing="1" w:after="100" w:afterAutospacing="1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251B"/>
    <w:rPr>
      <w:i/>
      <w:iCs/>
    </w:rPr>
  </w:style>
  <w:style w:type="character" w:customStyle="1" w:styleId="sr-only">
    <w:name w:val="sr-only"/>
    <w:basedOn w:val="DefaultParagraphFont"/>
    <w:rsid w:val="00CB251B"/>
  </w:style>
  <w:style w:type="paragraph" w:styleId="BalloonText">
    <w:name w:val="Balloon Text"/>
    <w:basedOn w:val="Normal"/>
    <w:link w:val="BalloonTextChar"/>
    <w:uiPriority w:val="99"/>
    <w:semiHidden/>
    <w:unhideWhenUsed/>
    <w:rsid w:val="00CB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1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B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0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B25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D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4A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51B"/>
    <w:rPr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251B"/>
    <w:pPr>
      <w:spacing w:before="100" w:beforeAutospacing="1" w:after="100" w:afterAutospacing="1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251B"/>
    <w:rPr>
      <w:i/>
      <w:iCs/>
    </w:rPr>
  </w:style>
  <w:style w:type="character" w:customStyle="1" w:styleId="sr-only">
    <w:name w:val="sr-only"/>
    <w:basedOn w:val="DefaultParagraphFont"/>
    <w:rsid w:val="00CB251B"/>
  </w:style>
  <w:style w:type="paragraph" w:styleId="BalloonText">
    <w:name w:val="Balloon Text"/>
    <w:basedOn w:val="Normal"/>
    <w:link w:val="BalloonTextChar"/>
    <w:uiPriority w:val="99"/>
    <w:semiHidden/>
    <w:unhideWhenUsed/>
    <w:rsid w:val="00CB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1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B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6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40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064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871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658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2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99128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559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1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97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8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354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9314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9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26250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8371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8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health.gov/dietaryguidelines/2015/guidelines/" TargetMode="External"/><Relationship Id="rId8" Type="http://schemas.openxmlformats.org/officeDocument/2006/relationships/hyperlink" Target="http://www.cdc.gov/salt/reduce_sodium_tips.htm" TargetMode="External"/><Relationship Id="rId9" Type="http://schemas.openxmlformats.org/officeDocument/2006/relationships/hyperlink" Target="http://www.choosemyplate.gov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Macintosh Word</Application>
  <DocSecurity>0</DocSecurity>
  <Lines>23</Lines>
  <Paragraphs>6</Paragraphs>
  <ScaleCrop>false</ScaleCrop>
  <Company>CLC Charter School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Andrea</cp:lastModifiedBy>
  <cp:revision>2</cp:revision>
  <cp:lastPrinted>2019-04-11T16:40:00Z</cp:lastPrinted>
  <dcterms:created xsi:type="dcterms:W3CDTF">2019-04-11T16:49:00Z</dcterms:created>
  <dcterms:modified xsi:type="dcterms:W3CDTF">2019-04-11T16:49:00Z</dcterms:modified>
</cp:coreProperties>
</file>